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Vindeln kommunfullmäktige</w:t>
      </w:r>
    </w:p>
    <w:p>
      <w:pPr>
        <w:pStyle w:val="Heading1"/>
      </w:pPr>
      <w:r>
        <w:t xml:space="preserve">Fler praktikplatser inom skogsbruk och turism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Vindeln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unga i Vindeln är 7,8 % (Arbetsförmedlingen 2025). Lokala företag inom skog och turism har svårt att rekrytera. Praktik kan stärka arbetslinjen och matchningen.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Vindeln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näringslivskontoret får i uppdrag att skapa 20 nya praktikplatser per år tillsammans med lokala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vuxenutbildningen i Umeå etableras för relevanta kurser.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praktikplatserna prioriterar ungdomar och nyanlända.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presenteras för kommunfullmäktige hösten 2027.</w:t>
      </w:r>
    </w:p>
    <w:p>
      <w:pPr>
        <w:spacing w:before="360"/>
      </w:pPr>
    </w:p>
    <w:p>
      <w:r>
        <w:t xml:space="preserve">Vindeln,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Vindeln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2026-07-14T01:51:11.177Z</dcterms:created>
  <dcterms:modified xsi:type="dcterms:W3CDTF">2026-07-14T01:51:11.177Z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